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56" w:rsidRDefault="00D80256" w:rsidP="000C15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3E15E6" w:rsidRPr="000C158D" w:rsidRDefault="000C158D" w:rsidP="000C15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0C158D">
        <w:rPr>
          <w:rFonts w:ascii="Times New Roman" w:hAnsi="Times New Roman" w:cs="Times New Roman"/>
          <w:b/>
          <w:color w:val="FF0000"/>
          <w:sz w:val="48"/>
          <w:szCs w:val="48"/>
        </w:rPr>
        <w:t>«Готовність дитини до навчання у школі»</w:t>
      </w:r>
    </w:p>
    <w:p w:rsidR="000C158D" w:rsidRDefault="000C158D" w:rsidP="00D8025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0C158D">
        <w:rPr>
          <w:rFonts w:ascii="Times New Roman" w:hAnsi="Times New Roman" w:cs="Times New Roman"/>
          <w:color w:val="00B050"/>
          <w:sz w:val="36"/>
          <w:szCs w:val="36"/>
        </w:rPr>
        <w:t>Інформаційно – методичний вісник</w:t>
      </w:r>
    </w:p>
    <w:p w:rsidR="000C158D" w:rsidRPr="000C158D" w:rsidRDefault="000C158D" w:rsidP="000C1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158D">
        <w:rPr>
          <w:rFonts w:ascii="Times New Roman" w:hAnsi="Times New Roman" w:cs="Times New Roman"/>
          <w:color w:val="002060"/>
          <w:sz w:val="32"/>
          <w:szCs w:val="32"/>
        </w:rPr>
        <w:t>Фізичний розвиток дитини як запорука її успішного навчання</w:t>
      </w:r>
    </w:p>
    <w:p w:rsidR="000C158D" w:rsidRPr="000C158D" w:rsidRDefault="000C158D" w:rsidP="000C158D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C158D">
        <w:rPr>
          <w:rFonts w:ascii="Times New Roman" w:hAnsi="Times New Roman" w:cs="Times New Roman"/>
          <w:sz w:val="28"/>
          <w:szCs w:val="28"/>
        </w:rPr>
        <w:t xml:space="preserve">Щоб успішно вчитися, дитині потрібні сили, вона має бути фізично готовою щодня нести ранець чи портфель, сидіти протягом 30-35 хв на </w:t>
      </w:r>
      <w:proofErr w:type="spellStart"/>
      <w:r w:rsidRPr="000C158D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C158D">
        <w:rPr>
          <w:rFonts w:ascii="Times New Roman" w:hAnsi="Times New Roman" w:cs="Times New Roman"/>
          <w:sz w:val="28"/>
          <w:szCs w:val="28"/>
        </w:rPr>
        <w:t>, правильно тримати ручку, пис</w:t>
      </w:r>
      <w:r w:rsidRPr="000C158D">
        <w:rPr>
          <w:rFonts w:ascii="Times New Roman" w:hAnsi="Times New Roman" w:cs="Times New Roman"/>
          <w:sz w:val="28"/>
          <w:szCs w:val="28"/>
        </w:rPr>
        <w:t>ати впродовж тривалого часу</w:t>
      </w:r>
      <w:r w:rsidRPr="000C158D">
        <w:rPr>
          <w:rFonts w:ascii="Times New Roman" w:hAnsi="Times New Roman" w:cs="Times New Roman"/>
          <w:sz w:val="28"/>
          <w:szCs w:val="28"/>
        </w:rPr>
        <w:t>.</w:t>
      </w:r>
      <w:r w:rsidRPr="000C158D">
        <w:rPr>
          <w:rFonts w:ascii="Times New Roman" w:hAnsi="Times New Roman" w:cs="Times New Roman"/>
          <w:sz w:val="28"/>
          <w:szCs w:val="28"/>
        </w:rPr>
        <w:t xml:space="preserve"> </w:t>
      </w:r>
      <w:r w:rsidRPr="000C158D">
        <w:rPr>
          <w:rFonts w:ascii="Times New Roman" w:hAnsi="Times New Roman" w:cs="Times New Roman"/>
          <w:sz w:val="28"/>
          <w:szCs w:val="28"/>
        </w:rPr>
        <w:t>І педагоги, і батьки часто недооцінюють роль сформованості навичок здорового способу життя — фізичний аспект розвитку дитини. Фахівці стверджують, що саме фізичний розвиток є запорукою успішного навчання дитини в школі. Фізична готовність, відповідний стан здоров’я дитини — це одна з основних передумов її успішного навчання в школі.</w:t>
      </w:r>
    </w:p>
    <w:p w:rsidR="000C158D" w:rsidRDefault="000C158D" w:rsidP="000C1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58D">
        <w:rPr>
          <w:rFonts w:ascii="Times New Roman" w:hAnsi="Times New Roman" w:cs="Times New Roman"/>
          <w:color w:val="002060"/>
          <w:sz w:val="32"/>
          <w:szCs w:val="32"/>
        </w:rPr>
        <w:t>Біологічна зрілість</w:t>
      </w:r>
      <w:r w:rsidRPr="000C158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C158D" w:rsidRPr="00FB45B4" w:rsidRDefault="000C158D" w:rsidP="000C15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C158D">
        <w:rPr>
          <w:rFonts w:ascii="Times New Roman" w:hAnsi="Times New Roman" w:cs="Times New Roman"/>
          <w:sz w:val="28"/>
          <w:szCs w:val="28"/>
        </w:rPr>
        <w:t xml:space="preserve">івень дозрівання організму дитини. Біологічно зрілій дитині легше впоратися з фізичними та розумовими навантаженнями, адаптуватися до нових умов, оскільки вона менш вразлива до стресу, збудників дитячих інфекційних </w:t>
      </w:r>
      <w:proofErr w:type="spellStart"/>
      <w:r w:rsidRPr="000C158D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0C158D">
        <w:rPr>
          <w:rFonts w:ascii="Times New Roman" w:hAnsi="Times New Roman" w:cs="Times New Roman"/>
          <w:sz w:val="28"/>
          <w:szCs w:val="28"/>
        </w:rPr>
        <w:t>. Бажано також приділити увагу антропометричним показникам дитини (вага, зріст, зміна молочних зубів на постійні тощо).</w:t>
      </w:r>
    </w:p>
    <w:p w:rsidR="000C158D" w:rsidRDefault="000C158D" w:rsidP="000C15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0C158D">
        <w:rPr>
          <w:rFonts w:ascii="Times New Roman" w:hAnsi="Times New Roman" w:cs="Times New Roman"/>
          <w:color w:val="002060"/>
          <w:sz w:val="32"/>
          <w:szCs w:val="32"/>
        </w:rPr>
        <w:t>Психологічна готовність дитини</w:t>
      </w:r>
    </w:p>
    <w:p w:rsidR="000C158D" w:rsidRPr="000C158D" w:rsidRDefault="000C158D" w:rsidP="000C158D">
      <w:pPr>
        <w:ind w:left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0C158D">
        <w:rPr>
          <w:rFonts w:ascii="Times New Roman" w:hAnsi="Times New Roman" w:cs="Times New Roman"/>
          <w:sz w:val="28"/>
          <w:szCs w:val="28"/>
        </w:rPr>
        <w:t>Важливою складовою готовності дитини до школи є її психологічна готовність. Існують різні думки фахівців щодо структури психологічної готовності, однак здебільшого виокремлюють такі її компоненти:</w:t>
      </w:r>
    </w:p>
    <w:p w:rsidR="000C158D" w:rsidRPr="00FB45B4" w:rsidRDefault="000C158D" w:rsidP="000C1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соціальний;</w:t>
      </w:r>
    </w:p>
    <w:p w:rsidR="000C158D" w:rsidRPr="00FB45B4" w:rsidRDefault="000C158D" w:rsidP="000C1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емоційно-вольовий;</w:t>
      </w:r>
    </w:p>
    <w:p w:rsidR="000C158D" w:rsidRPr="00FB45B4" w:rsidRDefault="000C158D" w:rsidP="000C1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інтелектуальний;</w:t>
      </w:r>
    </w:p>
    <w:p w:rsidR="000C158D" w:rsidRDefault="000C158D" w:rsidP="000C1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мотиваційний.</w:t>
      </w:r>
    </w:p>
    <w:p w:rsidR="000C158D" w:rsidRDefault="000C158D" w:rsidP="000C1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45B4">
        <w:rPr>
          <w:rFonts w:ascii="Times New Roman" w:hAnsi="Times New Roman" w:cs="Times New Roman"/>
          <w:sz w:val="28"/>
          <w:szCs w:val="28"/>
        </w:rPr>
        <w:t xml:space="preserve">Дитина має розуміти, що в школу вона йде не лише гратися з друзями, а 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58D" w:rsidRDefault="000C158D" w:rsidP="000C1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45B4">
        <w:rPr>
          <w:rFonts w:ascii="Times New Roman" w:hAnsi="Times New Roman" w:cs="Times New Roman"/>
          <w:sz w:val="28"/>
          <w:szCs w:val="28"/>
        </w:rPr>
        <w:t>одержувати нові знання та вміння. Проте навчатися вона буде не сама. У класі</w:t>
      </w:r>
    </w:p>
    <w:p w:rsidR="000C158D" w:rsidRDefault="000C158D" w:rsidP="000C1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5B4">
        <w:rPr>
          <w:rFonts w:ascii="Times New Roman" w:hAnsi="Times New Roman" w:cs="Times New Roman"/>
          <w:sz w:val="28"/>
          <w:szCs w:val="28"/>
        </w:rPr>
        <w:t xml:space="preserve"> здебільшого навчаються близько тридцяти учнів, тож дитина має вміти </w:t>
      </w:r>
    </w:p>
    <w:p w:rsidR="000C158D" w:rsidRPr="00FB45B4" w:rsidRDefault="000C158D" w:rsidP="000C1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45B4">
        <w:rPr>
          <w:rFonts w:ascii="Times New Roman" w:hAnsi="Times New Roman" w:cs="Times New Roman"/>
          <w:sz w:val="28"/>
          <w:szCs w:val="28"/>
        </w:rPr>
        <w:t>спілкуватися та працювати в групі.</w:t>
      </w:r>
    </w:p>
    <w:p w:rsidR="000C158D" w:rsidRPr="00D80256" w:rsidRDefault="000C158D" w:rsidP="00D802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0256">
        <w:rPr>
          <w:rFonts w:ascii="Times New Roman" w:hAnsi="Times New Roman" w:cs="Times New Roman"/>
          <w:b/>
          <w:i/>
          <w:sz w:val="28"/>
          <w:szCs w:val="28"/>
        </w:rPr>
        <w:t>Тож у дитини до початку навчання у школі бажано сформувати:</w:t>
      </w:r>
    </w:p>
    <w:p w:rsidR="000C158D" w:rsidRPr="00FB45B4" w:rsidRDefault="000C158D" w:rsidP="000C1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адекватну самооцінку;</w:t>
      </w:r>
    </w:p>
    <w:p w:rsidR="000C158D" w:rsidRPr="00FB45B4" w:rsidRDefault="000C158D" w:rsidP="000C1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потребу в спілкуванні з іншими;</w:t>
      </w:r>
    </w:p>
    <w:p w:rsidR="000C158D" w:rsidRPr="00FB45B4" w:rsidRDefault="000C158D" w:rsidP="000C1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уміння приймати інтереси групи дітей;</w:t>
      </w:r>
    </w:p>
    <w:p w:rsidR="000C158D" w:rsidRPr="00FB45B4" w:rsidRDefault="000C158D" w:rsidP="00D80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уміння налагоджувати взаємини з однолітками та дорослими.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Варто виховувати в дитини не лише лідерські якості та навички, а й уміння за потреби поступатися. Дитина має бути терплячою до інших.</w:t>
      </w:r>
    </w:p>
    <w:p w:rsidR="00D80256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D80256">
        <w:rPr>
          <w:rFonts w:ascii="Times New Roman" w:hAnsi="Times New Roman" w:cs="Times New Roman"/>
          <w:i/>
          <w:sz w:val="28"/>
          <w:szCs w:val="28"/>
        </w:rPr>
        <w:t>Психологічна готовність</w:t>
      </w:r>
      <w:r w:rsidRPr="00FB45B4">
        <w:rPr>
          <w:rFonts w:ascii="Times New Roman" w:hAnsi="Times New Roman" w:cs="Times New Roman"/>
          <w:sz w:val="28"/>
          <w:szCs w:val="28"/>
        </w:rPr>
        <w:t xml:space="preserve"> дитини до школи передбачає розвиток її емоційно-вольової сфери, показ</w:t>
      </w:r>
      <w:r>
        <w:rPr>
          <w:rFonts w:ascii="Times New Roman" w:hAnsi="Times New Roman" w:cs="Times New Roman"/>
          <w:sz w:val="28"/>
          <w:szCs w:val="28"/>
        </w:rPr>
        <w:t>ники якої свідчать про сформова</w:t>
      </w:r>
      <w:r w:rsidRPr="00FB45B4">
        <w:rPr>
          <w:rFonts w:ascii="Times New Roman" w:hAnsi="Times New Roman" w:cs="Times New Roman"/>
          <w:sz w:val="28"/>
          <w:szCs w:val="28"/>
        </w:rPr>
        <w:t xml:space="preserve">ність відповідного </w:t>
      </w:r>
    </w:p>
    <w:p w:rsidR="00D80256" w:rsidRDefault="00D80256" w:rsidP="000C158D">
      <w:pPr>
        <w:rPr>
          <w:rFonts w:ascii="Times New Roman" w:hAnsi="Times New Roman" w:cs="Times New Roman"/>
          <w:sz w:val="28"/>
          <w:szCs w:val="28"/>
        </w:rPr>
      </w:pPr>
    </w:p>
    <w:p w:rsidR="00D80256" w:rsidRDefault="00D80256" w:rsidP="000C158D">
      <w:pPr>
        <w:rPr>
          <w:rFonts w:ascii="Times New Roman" w:hAnsi="Times New Roman" w:cs="Times New Roman"/>
          <w:sz w:val="28"/>
          <w:szCs w:val="28"/>
        </w:rPr>
      </w:pP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компонента психологічної готовності до навчання в школі. Йдеться зокрема про такі показники, як: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упевненість у собі;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переважання позитивного настрою;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прагнення стримувати негативні емоції;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уміння керувати своєю поведінкою;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розвиток емоційної стійкості;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довільність пізнавальних процесів, зокрема сприймання, мислення, пам’яті, а також уваги;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довільність поведінки — здатність робити не лише те, що цікаво, а й те, що потрібно, доводити розпочату справу до кінця.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Бажано вчити дитину виражати свої думки, емоції та бажання, «читати» емоції та настрій інших, прагнути враховувати це під час взаємодії.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 xml:space="preserve">Про сформованість </w:t>
      </w:r>
      <w:r w:rsidRPr="00D80256">
        <w:rPr>
          <w:rFonts w:ascii="Times New Roman" w:hAnsi="Times New Roman" w:cs="Times New Roman"/>
          <w:i/>
          <w:sz w:val="28"/>
          <w:szCs w:val="28"/>
        </w:rPr>
        <w:t>інтелектуального компонента</w:t>
      </w:r>
      <w:r w:rsidRPr="00FB45B4">
        <w:rPr>
          <w:rFonts w:ascii="Times New Roman" w:hAnsi="Times New Roman" w:cs="Times New Roman"/>
          <w:sz w:val="28"/>
          <w:szCs w:val="28"/>
        </w:rPr>
        <w:t xml:space="preserve"> психологічної готовності дитини до школи свідчить: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розвинуте сприймання;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стійка пізнавальна увага;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 xml:space="preserve">•        розвинуті мислення та </w:t>
      </w:r>
      <w:proofErr w:type="spellStart"/>
      <w:r w:rsidRPr="00FB45B4">
        <w:rPr>
          <w:rFonts w:ascii="Times New Roman" w:hAnsi="Times New Roman" w:cs="Times New Roman"/>
          <w:sz w:val="28"/>
          <w:szCs w:val="28"/>
        </w:rPr>
        <w:t>мисленнєві</w:t>
      </w:r>
      <w:proofErr w:type="spellEnd"/>
      <w:r w:rsidRPr="00FB45B4">
        <w:rPr>
          <w:rFonts w:ascii="Times New Roman" w:hAnsi="Times New Roman" w:cs="Times New Roman"/>
          <w:sz w:val="28"/>
          <w:szCs w:val="28"/>
        </w:rPr>
        <w:t xml:space="preserve"> операції — проявляється у здатності виокремлювати та розуміти важливі ознаки та зв'язки між предметами;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здатність відтворювати зразок;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оволодіння усним мовленням;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розвиток дрібної моторики, зорової координації;</w:t>
      </w:r>
    </w:p>
    <w:p w:rsidR="000C158D" w:rsidRPr="00FB45B4" w:rsidRDefault="000C158D" w:rsidP="000C158D">
      <w:pPr>
        <w:rPr>
          <w:rFonts w:ascii="Times New Roman" w:hAnsi="Times New Roman" w:cs="Times New Roman"/>
          <w:sz w:val="28"/>
          <w:szCs w:val="28"/>
        </w:rPr>
      </w:pPr>
      <w:r w:rsidRPr="00FB45B4">
        <w:rPr>
          <w:rFonts w:ascii="Times New Roman" w:hAnsi="Times New Roman" w:cs="Times New Roman"/>
          <w:sz w:val="28"/>
          <w:szCs w:val="28"/>
        </w:rPr>
        <w:t>•        розвиток здатності до навчання.</w:t>
      </w:r>
    </w:p>
    <w:p w:rsidR="000C158D" w:rsidRPr="00D80256" w:rsidRDefault="000C158D" w:rsidP="00D80256">
      <w:pPr>
        <w:jc w:val="both"/>
        <w:rPr>
          <w:rFonts w:ascii="Times New Roman" w:hAnsi="Times New Roman" w:cs="Times New Roman"/>
          <w:sz w:val="28"/>
          <w:szCs w:val="28"/>
        </w:rPr>
      </w:pPr>
      <w:r w:rsidRPr="00D80256">
        <w:rPr>
          <w:rFonts w:ascii="Times New Roman" w:hAnsi="Times New Roman" w:cs="Times New Roman"/>
          <w:sz w:val="28"/>
          <w:szCs w:val="28"/>
        </w:rPr>
        <w:t>Важливо не перевантажувати дитину інформацією, яку вона через свої вікові особливості ще не може повністю сприйняти. Бажано подавати знання дозовано. Інформація має відповідати віковим інтересам дитини. Одне з основних завдань формування інтелектуального компоненту психологічної готовності дитини до навчання в школі — навчити її слухати та переказувати почуте, відповідати на запитання відповідно до теми. Дорослий, навчаючи дитину, має бути для неї мудрим учителем, наставником, другом.</w:t>
      </w:r>
    </w:p>
    <w:p w:rsidR="00D80256" w:rsidRDefault="000C158D" w:rsidP="00D80256">
      <w:pPr>
        <w:jc w:val="both"/>
        <w:rPr>
          <w:rFonts w:ascii="Times New Roman" w:hAnsi="Times New Roman" w:cs="Times New Roman"/>
          <w:sz w:val="28"/>
          <w:szCs w:val="28"/>
        </w:rPr>
      </w:pPr>
      <w:r w:rsidRPr="00D80256">
        <w:rPr>
          <w:rFonts w:ascii="Times New Roman" w:hAnsi="Times New Roman" w:cs="Times New Roman"/>
          <w:i/>
          <w:sz w:val="28"/>
          <w:szCs w:val="28"/>
        </w:rPr>
        <w:t>Мотиваційний компонент</w:t>
      </w:r>
      <w:r w:rsidRPr="00FB45B4">
        <w:rPr>
          <w:rFonts w:ascii="Times New Roman" w:hAnsi="Times New Roman" w:cs="Times New Roman"/>
          <w:sz w:val="28"/>
          <w:szCs w:val="28"/>
        </w:rPr>
        <w:t xml:space="preserve"> психологічної готовності дитини до школи відображає її бажання чи небажання вчитися. Цей компонент є визначальним у структурі психологічної готовності дитини до навчання в школі, бо від нього залежить входження дитини в нову для неї діяльність, яка відрізняється від</w:t>
      </w:r>
      <w:r w:rsidR="00D80256">
        <w:rPr>
          <w:rFonts w:ascii="Times New Roman" w:hAnsi="Times New Roman" w:cs="Times New Roman"/>
          <w:sz w:val="28"/>
          <w:szCs w:val="28"/>
        </w:rPr>
        <w:t xml:space="preserve"> </w:t>
      </w:r>
      <w:r w:rsidR="00D80256" w:rsidRPr="00FB45B4">
        <w:rPr>
          <w:rFonts w:ascii="Times New Roman" w:hAnsi="Times New Roman" w:cs="Times New Roman"/>
          <w:sz w:val="28"/>
          <w:szCs w:val="28"/>
        </w:rPr>
        <w:t>ігрової обов'язковістю, інтелектуальним навантаженням, необхідністю долати труднощі</w:t>
      </w:r>
      <w:r w:rsidR="00D8025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80256" w:rsidSect="00D80256">
      <w:pgSz w:w="11906" w:h="16838"/>
      <w:pgMar w:top="284" w:right="850" w:bottom="567" w:left="1417" w:header="708" w:footer="708" w:gutter="0"/>
      <w:pgBorders w:offsetFrom="page">
        <w:top w:val="peopleWaving" w:sz="11" w:space="24" w:color="auto"/>
        <w:left w:val="peopleWaving" w:sz="11" w:space="24" w:color="auto"/>
        <w:bottom w:val="peopleWaving" w:sz="11" w:space="24" w:color="auto"/>
        <w:right w:val="peopleWaving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8B2"/>
    <w:multiLevelType w:val="hybridMultilevel"/>
    <w:tmpl w:val="493E4DE2"/>
    <w:lvl w:ilvl="0" w:tplc="29F2844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206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8D"/>
    <w:rsid w:val="000C158D"/>
    <w:rsid w:val="003E15E6"/>
    <w:rsid w:val="00D8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41E7"/>
  <w15:chartTrackingRefBased/>
  <w15:docId w15:val="{793A5CFE-1E34-41C0-990B-47768391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2647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1</cp:revision>
  <dcterms:created xsi:type="dcterms:W3CDTF">2025-05-06T13:21:00Z</dcterms:created>
  <dcterms:modified xsi:type="dcterms:W3CDTF">2025-05-06T13:46:00Z</dcterms:modified>
</cp:coreProperties>
</file>